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7089"/>
      </w:tblGrid>
      <w:tr w:rsidR="00C67092" w:rsidRPr="00C67092" w:rsidTr="00AF18EB">
        <w:trPr>
          <w:trHeight w:val="1415"/>
        </w:trPr>
        <w:tc>
          <w:tcPr>
            <w:tcW w:w="9778" w:type="dxa"/>
            <w:gridSpan w:val="2"/>
            <w:shd w:val="clear" w:color="auto" w:fill="365F91" w:themeFill="accent1" w:themeFillShade="BF"/>
            <w:vAlign w:val="center"/>
          </w:tcPr>
          <w:p w:rsidR="00EC3D1A" w:rsidRDefault="00FD306C" w:rsidP="00125B25">
            <w:pPr>
              <w:jc w:val="center"/>
              <w:rPr>
                <w:b/>
                <w:bCs/>
                <w:color w:val="FABF8F" w:themeColor="accent6" w:themeTint="99"/>
                <w:sz w:val="28"/>
                <w:szCs w:val="28"/>
                <w:lang w:val="en-US"/>
              </w:rPr>
            </w:pPr>
            <w:r w:rsidRPr="00FD306C">
              <w:rPr>
                <w:b/>
                <w:bCs/>
                <w:color w:val="FABF8F" w:themeColor="accent6" w:themeTint="99"/>
                <w:sz w:val="28"/>
                <w:szCs w:val="28"/>
                <w:lang w:val="en-US"/>
              </w:rPr>
              <w:t xml:space="preserve">PROGETTO </w:t>
            </w:r>
          </w:p>
          <w:p w:rsidR="004A5EB4" w:rsidRPr="00AF18EB" w:rsidRDefault="002939E5" w:rsidP="00125B25">
            <w:pPr>
              <w:jc w:val="center"/>
              <w:rPr>
                <w:b/>
                <w:bCs/>
                <w:color w:val="FABF8F" w:themeColor="accent6" w:themeTint="99"/>
                <w:sz w:val="28"/>
                <w:szCs w:val="28"/>
                <w:lang w:val="en-US"/>
              </w:rPr>
            </w:pPr>
            <w:r w:rsidRPr="00EC3D1A">
              <w:rPr>
                <w:b/>
                <w:bCs/>
                <w:color w:val="FABF8F" w:themeColor="accent6" w:themeTint="99"/>
                <w:sz w:val="28"/>
                <w:szCs w:val="28"/>
                <w:lang w:val="en-US"/>
              </w:rPr>
              <w:t>SUBNODES - "Connecting the hinterland via sub-nodes to the TEN-T core network"</w:t>
            </w:r>
          </w:p>
        </w:tc>
      </w:tr>
      <w:tr w:rsidR="00C4458E" w:rsidRPr="00BD1A07" w:rsidTr="00AF18EB">
        <w:trPr>
          <w:trHeight w:val="1959"/>
        </w:trPr>
        <w:tc>
          <w:tcPr>
            <w:tcW w:w="2689" w:type="dxa"/>
            <w:vAlign w:val="center"/>
          </w:tcPr>
          <w:p w:rsidR="00C4458E" w:rsidRDefault="00B033B5" w:rsidP="004A5EB4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  <w:szCs w:val="24"/>
              </w:rPr>
              <w:t>PROGRAMMA CTE</w:t>
            </w:r>
          </w:p>
          <w:p w:rsidR="00C4458E" w:rsidRDefault="00B033B5" w:rsidP="004A5EB4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  <w:szCs w:val="24"/>
              </w:rPr>
              <w:t>LOGO E SITO WEB</w:t>
            </w:r>
          </w:p>
        </w:tc>
        <w:tc>
          <w:tcPr>
            <w:tcW w:w="7089" w:type="dxa"/>
            <w:vAlign w:val="center"/>
          </w:tcPr>
          <w:p w:rsidR="00DF5EE7" w:rsidRDefault="00DF5EE7" w:rsidP="00942481">
            <w:pPr>
              <w:jc w:val="center"/>
            </w:pPr>
          </w:p>
          <w:p w:rsidR="00C4458E" w:rsidRDefault="00DF5EE7" w:rsidP="00942481">
            <w:pPr>
              <w:jc w:val="center"/>
              <w:rPr>
                <w:rStyle w:val="Collegamentoipertestuale"/>
                <w:b/>
                <w:bCs/>
                <w:noProof/>
                <w:sz w:val="24"/>
                <w:szCs w:val="24"/>
                <w:lang w:eastAsia="it-IT"/>
              </w:rPr>
            </w:pPr>
            <w:hyperlink r:id="rId5" w:history="1">
              <w:r w:rsidR="00942481" w:rsidRPr="005637B8">
                <w:rPr>
                  <w:rStyle w:val="Collegamentoipertestuale"/>
                  <w:b/>
                  <w:bCs/>
                  <w:noProof/>
                  <w:sz w:val="24"/>
                  <w:szCs w:val="24"/>
                  <w:lang w:eastAsia="it-IT"/>
                </w:rPr>
                <w:t>http://www.interreg-central.eu/Content.Node/home.html</w:t>
              </w:r>
            </w:hyperlink>
          </w:p>
          <w:p w:rsidR="00DF5EE7" w:rsidRDefault="00DF5EE7" w:rsidP="00942481">
            <w:pPr>
              <w:jc w:val="center"/>
              <w:rPr>
                <w:rStyle w:val="Collegamentoipertestuale"/>
                <w:b/>
                <w:bCs/>
                <w:noProof/>
                <w:sz w:val="24"/>
                <w:szCs w:val="24"/>
                <w:lang w:eastAsia="it-IT"/>
              </w:rPr>
            </w:pPr>
          </w:p>
          <w:p w:rsidR="00DF5EE7" w:rsidRDefault="00DF5EE7" w:rsidP="00942481">
            <w:pPr>
              <w:jc w:val="center"/>
              <w:rPr>
                <w:b/>
                <w:bCs/>
                <w:noProof/>
                <w:sz w:val="24"/>
                <w:szCs w:val="24"/>
                <w:lang w:eastAsia="it-IT"/>
              </w:rPr>
            </w:pPr>
          </w:p>
          <w:p w:rsidR="00942481" w:rsidRDefault="00942481" w:rsidP="00942481">
            <w:pPr>
              <w:jc w:val="center"/>
              <w:rPr>
                <w:b/>
                <w:bCs/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433352" cy="839961"/>
                  <wp:effectExtent l="0" t="0" r="0" b="0"/>
                  <wp:docPr id="2" name="Immagine 2" descr="http://www.interreg-central.eu/src/interreg-central-eu/images/int_logo_groes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terreg-central.eu/src/interreg-central-eu/images/int_logo_groes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615" cy="84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E7" w:rsidRDefault="00DF5EE7" w:rsidP="00942481">
            <w:pPr>
              <w:jc w:val="center"/>
              <w:rPr>
                <w:b/>
                <w:bCs/>
                <w:noProof/>
                <w:sz w:val="24"/>
                <w:szCs w:val="24"/>
                <w:lang w:eastAsia="it-IT"/>
              </w:rPr>
            </w:pPr>
          </w:p>
        </w:tc>
      </w:tr>
      <w:tr w:rsidR="00CA190A" w:rsidRPr="00BD1A07" w:rsidTr="00AF18EB">
        <w:tc>
          <w:tcPr>
            <w:tcW w:w="2689" w:type="dxa"/>
            <w:vAlign w:val="center"/>
          </w:tcPr>
          <w:p w:rsidR="00CA190A" w:rsidRPr="00B1571E" w:rsidRDefault="00B033B5" w:rsidP="004A5EB4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  <w:szCs w:val="24"/>
              </w:rPr>
              <w:t>LOGO PROGETTO</w:t>
            </w:r>
          </w:p>
        </w:tc>
        <w:tc>
          <w:tcPr>
            <w:tcW w:w="7089" w:type="dxa"/>
            <w:vAlign w:val="center"/>
          </w:tcPr>
          <w:p w:rsidR="00CA190A" w:rsidRDefault="00CA190A" w:rsidP="00942481">
            <w:pPr>
              <w:jc w:val="center"/>
              <w:rPr>
                <w:b/>
                <w:bCs/>
                <w:noProof/>
                <w:sz w:val="24"/>
                <w:szCs w:val="24"/>
                <w:lang w:eastAsia="it-IT"/>
              </w:rPr>
            </w:pPr>
          </w:p>
          <w:p w:rsidR="00125B25" w:rsidRDefault="00942481" w:rsidP="009424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2481">
              <w:rPr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1D14A46" wp14:editId="151B4257">
                  <wp:extent cx="3404182" cy="1471866"/>
                  <wp:effectExtent l="0" t="0" r="6350" b="0"/>
                  <wp:docPr id="1" name="Immagine 1" descr="C:\Users\lanarie\Documents\Programmi Gestione Diretta UE\Central Europe\SUBNODES\Comunicazione\SubNodes Project Logo\SubNodes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narie\Documents\Programmi Gestione Diretta UE\Central Europe\SUBNODES\Comunicazione\SubNodes Project Logo\SubNodes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196" cy="150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481" w:rsidRPr="00FD306C" w:rsidRDefault="00942481" w:rsidP="009424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A5EB4" w:rsidRPr="00942481" w:rsidTr="00876BB2">
        <w:tc>
          <w:tcPr>
            <w:tcW w:w="2689" w:type="dxa"/>
            <w:vAlign w:val="center"/>
          </w:tcPr>
          <w:p w:rsidR="004A5EB4" w:rsidRPr="00B1571E" w:rsidRDefault="00B1571E" w:rsidP="004A5EB4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B1571E">
              <w:rPr>
                <w:b/>
                <w:smallCaps/>
                <w:color w:val="17365D" w:themeColor="text2" w:themeShade="BF"/>
                <w:sz w:val="24"/>
                <w:szCs w:val="24"/>
              </w:rPr>
              <w:t>TITOLO</w:t>
            </w:r>
          </w:p>
        </w:tc>
        <w:tc>
          <w:tcPr>
            <w:tcW w:w="7089" w:type="dxa"/>
            <w:vAlign w:val="center"/>
          </w:tcPr>
          <w:p w:rsidR="004A5EB4" w:rsidRPr="00942481" w:rsidRDefault="004A5EB4" w:rsidP="00FD306C">
            <w:pPr>
              <w:rPr>
                <w:i/>
                <w:lang w:val="en-US"/>
              </w:rPr>
            </w:pPr>
          </w:p>
          <w:p w:rsidR="00125B25" w:rsidRPr="00942481" w:rsidRDefault="00942481" w:rsidP="00FD306C">
            <w:pPr>
              <w:rPr>
                <w:i/>
                <w:lang w:val="en-GB"/>
              </w:rPr>
            </w:pPr>
            <w:r w:rsidRPr="00942481">
              <w:rPr>
                <w:rFonts w:cs="Helv"/>
                <w:color w:val="000000"/>
                <w:sz w:val="20"/>
                <w:szCs w:val="20"/>
                <w:lang w:val="en-GB"/>
              </w:rPr>
              <w:t>SUBNODES - "Connecting the hinterland via sub-nodes to the TEN-T core network"</w:t>
            </w:r>
          </w:p>
          <w:p w:rsidR="00125B25" w:rsidRPr="00942481" w:rsidRDefault="00125B25" w:rsidP="00FD306C">
            <w:pPr>
              <w:rPr>
                <w:i/>
                <w:lang w:val="en-US"/>
              </w:rPr>
            </w:pPr>
          </w:p>
        </w:tc>
      </w:tr>
      <w:tr w:rsidR="004A5EB4" w:rsidTr="00876BB2">
        <w:trPr>
          <w:trHeight w:val="492"/>
        </w:trPr>
        <w:tc>
          <w:tcPr>
            <w:tcW w:w="2689" w:type="dxa"/>
            <w:vAlign w:val="center"/>
          </w:tcPr>
          <w:p w:rsidR="004A5EB4" w:rsidRPr="00B1571E" w:rsidRDefault="00B1571E" w:rsidP="004A5EB4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B1571E">
              <w:rPr>
                <w:b/>
                <w:smallCaps/>
                <w:color w:val="17365D" w:themeColor="text2" w:themeShade="BF"/>
                <w:sz w:val="24"/>
                <w:szCs w:val="24"/>
              </w:rPr>
              <w:t>SITO WEB</w:t>
            </w:r>
          </w:p>
        </w:tc>
        <w:tc>
          <w:tcPr>
            <w:tcW w:w="7089" w:type="dxa"/>
            <w:vAlign w:val="center"/>
          </w:tcPr>
          <w:p w:rsidR="004A5EB4" w:rsidRPr="00942481" w:rsidRDefault="004A5EB4" w:rsidP="00125B25"/>
          <w:p w:rsidR="00125B25" w:rsidRPr="00942481" w:rsidRDefault="00DF5EE7" w:rsidP="00125B25">
            <w:hyperlink r:id="rId8" w:history="1">
              <w:r w:rsidR="00942481" w:rsidRPr="00942481">
                <w:rPr>
                  <w:rFonts w:cs="Arial"/>
                  <w:color w:val="0000FF"/>
                  <w:sz w:val="20"/>
                  <w:szCs w:val="20"/>
                  <w:u w:val="single"/>
                </w:rPr>
                <w:t>http://www.interreg-central.eu/Content.Node/subnodes.html</w:t>
              </w:r>
            </w:hyperlink>
          </w:p>
          <w:p w:rsidR="00125B25" w:rsidRPr="00942481" w:rsidRDefault="00125B25" w:rsidP="00125B25"/>
        </w:tc>
      </w:tr>
      <w:tr w:rsidR="004A5EB4" w:rsidTr="00876BB2">
        <w:trPr>
          <w:trHeight w:val="420"/>
        </w:trPr>
        <w:tc>
          <w:tcPr>
            <w:tcW w:w="2689" w:type="dxa"/>
            <w:vAlign w:val="center"/>
          </w:tcPr>
          <w:p w:rsidR="004A5EB4" w:rsidRPr="00B1571E" w:rsidRDefault="00B1571E" w:rsidP="004A5EB4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B1571E">
              <w:rPr>
                <w:b/>
                <w:smallCaps/>
                <w:color w:val="17365D" w:themeColor="text2" w:themeShade="BF"/>
                <w:sz w:val="24"/>
                <w:szCs w:val="24"/>
              </w:rPr>
              <w:t>DURATA</w:t>
            </w:r>
          </w:p>
        </w:tc>
        <w:tc>
          <w:tcPr>
            <w:tcW w:w="7089" w:type="dxa"/>
            <w:vAlign w:val="center"/>
          </w:tcPr>
          <w:p w:rsidR="004A5EB4" w:rsidRDefault="004A5EB4" w:rsidP="000646CF">
            <w:bookmarkStart w:id="0" w:name="_GoBack"/>
            <w:bookmarkEnd w:id="0"/>
          </w:p>
          <w:p w:rsidR="00125B25" w:rsidRPr="004A5EB4" w:rsidRDefault="00942481" w:rsidP="00DF5EE7">
            <w:r>
              <w:t>3 anni</w:t>
            </w:r>
          </w:p>
        </w:tc>
      </w:tr>
      <w:tr w:rsidR="004A5EB4" w:rsidTr="00876BB2">
        <w:tc>
          <w:tcPr>
            <w:tcW w:w="2689" w:type="dxa"/>
            <w:vAlign w:val="center"/>
          </w:tcPr>
          <w:p w:rsidR="004A5EB4" w:rsidRPr="00B1571E" w:rsidRDefault="00177CD3" w:rsidP="00177CD3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  <w:szCs w:val="24"/>
              </w:rPr>
              <w:t>PRESENTAZIONE SINTETICA,</w:t>
            </w:r>
            <w:r w:rsidR="00B1571E" w:rsidRPr="00B1571E">
              <w:rPr>
                <w:b/>
                <w:smallCaps/>
                <w:color w:val="17365D" w:themeColor="text2" w:themeShade="BF"/>
                <w:sz w:val="24"/>
                <w:szCs w:val="24"/>
              </w:rPr>
              <w:t xml:space="preserve"> </w:t>
            </w:r>
            <w:r w:rsidR="00852A15">
              <w:rPr>
                <w:b/>
                <w:smallCaps/>
                <w:color w:val="17365D" w:themeColor="text2" w:themeShade="BF"/>
                <w:sz w:val="24"/>
                <w:szCs w:val="24"/>
              </w:rPr>
              <w:t>OBIETTIVI E RISULTATI</w:t>
            </w:r>
          </w:p>
        </w:tc>
        <w:tc>
          <w:tcPr>
            <w:tcW w:w="7089" w:type="dxa"/>
            <w:vAlign w:val="center"/>
          </w:tcPr>
          <w:p w:rsidR="00942481" w:rsidRPr="00942481" w:rsidRDefault="00942481" w:rsidP="009424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Helv"/>
                <w:color w:val="000000"/>
                <w:sz w:val="20"/>
                <w:szCs w:val="20"/>
              </w:rPr>
            </w:pPr>
            <w:r w:rsidRPr="00942481">
              <w:rPr>
                <w:rFonts w:cs="Helv"/>
                <w:color w:val="000000"/>
                <w:sz w:val="20"/>
                <w:szCs w:val="20"/>
              </w:rPr>
              <w:t>Il progetto SUBNODES - "</w:t>
            </w:r>
            <w:proofErr w:type="spellStart"/>
            <w:r w:rsidRPr="00942481">
              <w:rPr>
                <w:rFonts w:cs="Helv"/>
                <w:color w:val="000000"/>
                <w:sz w:val="20"/>
                <w:szCs w:val="20"/>
              </w:rPr>
              <w:t>Connecting</w:t>
            </w:r>
            <w:proofErr w:type="spellEnd"/>
            <w:r w:rsidRPr="00942481">
              <w:rPr>
                <w:rFonts w:cs="Helv"/>
                <w:color w:val="000000"/>
                <w:sz w:val="20"/>
                <w:szCs w:val="20"/>
              </w:rPr>
              <w:t xml:space="preserve"> the hinterland via sub-</w:t>
            </w:r>
            <w:proofErr w:type="spellStart"/>
            <w:r w:rsidRPr="00942481">
              <w:rPr>
                <w:rFonts w:cs="Helv"/>
                <w:color w:val="000000"/>
                <w:sz w:val="20"/>
                <w:szCs w:val="20"/>
              </w:rPr>
              <w:t>nodes</w:t>
            </w:r>
            <w:proofErr w:type="spellEnd"/>
            <w:r w:rsidRPr="00942481">
              <w:rPr>
                <w:rFonts w:cs="Helv"/>
                <w:color w:val="000000"/>
                <w:sz w:val="20"/>
                <w:szCs w:val="20"/>
              </w:rPr>
              <w:t xml:space="preserve"> to the TEN-T core network" - mira a migliorare i collegamenti dall’hinterland verso gli </w:t>
            </w:r>
            <w:proofErr w:type="spellStart"/>
            <w:r w:rsidRPr="00942481">
              <w:rPr>
                <w:rFonts w:cs="Helv"/>
                <w:color w:val="000000"/>
                <w:sz w:val="20"/>
                <w:szCs w:val="20"/>
              </w:rPr>
              <w:t>hub</w:t>
            </w:r>
            <w:proofErr w:type="spellEnd"/>
            <w:r w:rsidRPr="00942481">
              <w:rPr>
                <w:rFonts w:cs="Helv"/>
                <w:color w:val="000000"/>
                <w:sz w:val="20"/>
                <w:szCs w:val="20"/>
              </w:rPr>
              <w:t xml:space="preserve"> primari della rete TEN-T, attraverso gli </w:t>
            </w:r>
            <w:proofErr w:type="spellStart"/>
            <w:r w:rsidRPr="00942481">
              <w:rPr>
                <w:rFonts w:cs="Helv"/>
                <w:color w:val="000000"/>
                <w:sz w:val="20"/>
                <w:szCs w:val="20"/>
              </w:rPr>
              <w:t>hub</w:t>
            </w:r>
            <w:proofErr w:type="spellEnd"/>
            <w:r w:rsidRPr="00942481">
              <w:rPr>
                <w:rFonts w:cs="Helv"/>
                <w:color w:val="000000"/>
                <w:sz w:val="20"/>
                <w:szCs w:val="20"/>
              </w:rPr>
              <w:t xml:space="preserve"> di trasporto secondari, i cosiddetti “</w:t>
            </w:r>
            <w:proofErr w:type="spellStart"/>
            <w:r w:rsidRPr="00942481">
              <w:rPr>
                <w:rFonts w:cs="Helv"/>
                <w:i/>
                <w:iCs/>
                <w:color w:val="000000"/>
                <w:sz w:val="20"/>
                <w:szCs w:val="20"/>
              </w:rPr>
              <w:t>Subnodes</w:t>
            </w:r>
            <w:proofErr w:type="spellEnd"/>
            <w:r w:rsidRPr="00942481">
              <w:rPr>
                <w:rFonts w:cs="Helv"/>
                <w:color w:val="000000"/>
                <w:sz w:val="20"/>
                <w:szCs w:val="20"/>
              </w:rPr>
              <w:t xml:space="preserve">”. I nodi primari della rete TEN-T sono principalmente città con più di 150.000 abitanti e sono localizzati sulle principali linee ferroviarie della rete TEN-T core. I </w:t>
            </w:r>
            <w:proofErr w:type="spellStart"/>
            <w:r w:rsidRPr="00942481">
              <w:rPr>
                <w:rFonts w:cs="Helv"/>
                <w:i/>
                <w:iCs/>
                <w:color w:val="000000"/>
                <w:sz w:val="20"/>
                <w:szCs w:val="20"/>
              </w:rPr>
              <w:t>subnode</w:t>
            </w:r>
            <w:proofErr w:type="spellEnd"/>
            <w:r w:rsidRPr="00942481">
              <w:rPr>
                <w:rFonts w:cs="Helv"/>
                <w:color w:val="000000"/>
                <w:sz w:val="20"/>
                <w:szCs w:val="20"/>
              </w:rPr>
              <w:t xml:space="preserve"> sono principalmente città di dimensioni inferiori e città di periferia ma non molto distanti dall’</w:t>
            </w:r>
            <w:proofErr w:type="spellStart"/>
            <w:r w:rsidRPr="00942481">
              <w:rPr>
                <w:rFonts w:cs="Helv"/>
                <w:color w:val="000000"/>
                <w:sz w:val="20"/>
                <w:szCs w:val="20"/>
              </w:rPr>
              <w:t>hub</w:t>
            </w:r>
            <w:proofErr w:type="spellEnd"/>
            <w:r w:rsidRPr="00942481">
              <w:rPr>
                <w:rFonts w:cs="Helv"/>
                <w:color w:val="000000"/>
                <w:sz w:val="20"/>
                <w:szCs w:val="20"/>
              </w:rPr>
              <w:t xml:space="preserve"> principale, mediamente 25-50 km. Un esempio di nodi primari sono Brno (CZ), Erfurt (DE), Poznan (PL), con i </w:t>
            </w:r>
            <w:proofErr w:type="spellStart"/>
            <w:r w:rsidRPr="00942481">
              <w:rPr>
                <w:rFonts w:cs="Helv"/>
                <w:color w:val="000000"/>
                <w:sz w:val="20"/>
                <w:szCs w:val="20"/>
              </w:rPr>
              <w:t>subnodes</w:t>
            </w:r>
            <w:proofErr w:type="spellEnd"/>
            <w:r w:rsidRPr="00942481">
              <w:rPr>
                <w:rFonts w:cs="Helv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81">
              <w:rPr>
                <w:rFonts w:cs="Helv"/>
                <w:color w:val="000000"/>
                <w:sz w:val="20"/>
                <w:szCs w:val="20"/>
              </w:rPr>
              <w:t>Blansko</w:t>
            </w:r>
            <w:proofErr w:type="spellEnd"/>
            <w:r w:rsidRPr="00942481">
              <w:rPr>
                <w:rFonts w:cs="Helv"/>
                <w:color w:val="000000"/>
                <w:sz w:val="20"/>
                <w:szCs w:val="20"/>
              </w:rPr>
              <w:t xml:space="preserve"> (CZ), </w:t>
            </w:r>
            <w:proofErr w:type="spellStart"/>
            <w:r w:rsidRPr="00942481">
              <w:rPr>
                <w:rFonts w:cs="Helv"/>
                <w:color w:val="000000"/>
                <w:sz w:val="20"/>
                <w:szCs w:val="20"/>
              </w:rPr>
              <w:t>Sòmmerda</w:t>
            </w:r>
            <w:proofErr w:type="spellEnd"/>
            <w:r w:rsidRPr="00942481">
              <w:rPr>
                <w:rFonts w:cs="Helv"/>
                <w:color w:val="000000"/>
                <w:sz w:val="20"/>
                <w:szCs w:val="20"/>
              </w:rPr>
              <w:t xml:space="preserve"> (DE), </w:t>
            </w:r>
            <w:proofErr w:type="spellStart"/>
            <w:r w:rsidRPr="00942481">
              <w:rPr>
                <w:rFonts w:cs="Helv"/>
                <w:color w:val="000000"/>
                <w:sz w:val="20"/>
                <w:szCs w:val="20"/>
              </w:rPr>
              <w:t>Koscian</w:t>
            </w:r>
            <w:proofErr w:type="spellEnd"/>
            <w:r w:rsidRPr="00942481">
              <w:rPr>
                <w:rFonts w:cs="Helv"/>
                <w:color w:val="000000"/>
                <w:sz w:val="20"/>
                <w:szCs w:val="20"/>
              </w:rPr>
              <w:t xml:space="preserve"> (PL). Per Regione Lombardia i nodi primari che saranno presi in considerazione coincidono con gli aeroporti </w:t>
            </w:r>
            <w:r w:rsidRPr="00942481">
              <w:rPr>
                <w:rFonts w:cs="Helv"/>
                <w:i/>
                <w:iCs/>
                <w:color w:val="000000"/>
                <w:sz w:val="20"/>
                <w:szCs w:val="20"/>
              </w:rPr>
              <w:t>core</w:t>
            </w:r>
            <w:r w:rsidRPr="00942481">
              <w:rPr>
                <w:rFonts w:cs="Helv"/>
                <w:color w:val="000000"/>
                <w:sz w:val="20"/>
                <w:szCs w:val="20"/>
              </w:rPr>
              <w:t xml:space="preserve"> di Malpensa, Linate e Orio al Serio; i </w:t>
            </w:r>
            <w:proofErr w:type="spellStart"/>
            <w:r w:rsidRPr="00942481">
              <w:rPr>
                <w:rFonts w:cs="Helv"/>
                <w:i/>
                <w:iCs/>
                <w:color w:val="000000"/>
                <w:sz w:val="20"/>
                <w:szCs w:val="20"/>
              </w:rPr>
              <w:t>subnode</w:t>
            </w:r>
            <w:proofErr w:type="spellEnd"/>
            <w:r w:rsidRPr="00942481">
              <w:rPr>
                <w:rFonts w:cs="Helv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42481">
              <w:rPr>
                <w:rFonts w:cs="Helv"/>
                <w:color w:val="000000"/>
                <w:sz w:val="20"/>
                <w:szCs w:val="20"/>
              </w:rPr>
              <w:t>considerati saranno Varese, Como, Bergamo, Brescia.</w:t>
            </w:r>
          </w:p>
          <w:p w:rsidR="00125B25" w:rsidRPr="00942481" w:rsidRDefault="00942481" w:rsidP="00F12EC0">
            <w:pPr>
              <w:jc w:val="both"/>
            </w:pPr>
            <w:r w:rsidRPr="00942481">
              <w:rPr>
                <w:rFonts w:cs="Helv"/>
                <w:color w:val="000000"/>
                <w:sz w:val="20"/>
                <w:szCs w:val="20"/>
              </w:rPr>
              <w:t xml:space="preserve">Sarà elaborata una strategia di sviluppo dei </w:t>
            </w:r>
            <w:proofErr w:type="spellStart"/>
            <w:r w:rsidRPr="00942481">
              <w:rPr>
                <w:rFonts w:cs="Helv"/>
                <w:i/>
                <w:iCs/>
                <w:color w:val="000000"/>
                <w:sz w:val="20"/>
                <w:szCs w:val="20"/>
              </w:rPr>
              <w:t>subnode</w:t>
            </w:r>
            <w:proofErr w:type="spellEnd"/>
            <w:r w:rsidRPr="00942481">
              <w:rPr>
                <w:rFonts w:cs="Helv"/>
                <w:color w:val="000000"/>
                <w:sz w:val="20"/>
                <w:szCs w:val="20"/>
              </w:rPr>
              <w:t xml:space="preserve">, con la quale saranno individuate le misure e le azioni per migliorare i collegamenti delle reti di trasporto secondarie verso gli </w:t>
            </w:r>
            <w:proofErr w:type="spellStart"/>
            <w:r w:rsidRPr="00942481">
              <w:rPr>
                <w:rFonts w:cs="Helv"/>
                <w:color w:val="000000"/>
                <w:sz w:val="20"/>
                <w:szCs w:val="20"/>
              </w:rPr>
              <w:t>hub</w:t>
            </w:r>
            <w:proofErr w:type="spellEnd"/>
            <w:r w:rsidRPr="00942481">
              <w:rPr>
                <w:rFonts w:cs="Helv"/>
                <w:color w:val="000000"/>
                <w:sz w:val="20"/>
                <w:szCs w:val="20"/>
              </w:rPr>
              <w:t xml:space="preserve"> principali della rete TEN-T. La strategia sarà sviluppata in maniera congiunta da tutti i partner, che poi acquisiranno i principi base come fondamento che regolerà la politica di mobilità nelle proprie realtà.</w:t>
            </w:r>
            <w:r w:rsidRPr="00942481">
              <w:rPr>
                <w:rFonts w:cs="Helv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42481">
              <w:rPr>
                <w:rFonts w:cs="Helv"/>
                <w:color w:val="000000"/>
                <w:sz w:val="20"/>
                <w:szCs w:val="20"/>
              </w:rPr>
              <w:t xml:space="preserve">Ogni Regione potrà individuare e sviluppare una serie di azioni con cui sviluppare la rete di collegamenti di uno o più </w:t>
            </w:r>
            <w:proofErr w:type="spellStart"/>
            <w:r w:rsidRPr="00942481">
              <w:rPr>
                <w:rFonts w:cs="Helv"/>
                <w:i/>
                <w:iCs/>
                <w:color w:val="000000"/>
                <w:sz w:val="20"/>
                <w:szCs w:val="20"/>
              </w:rPr>
              <w:t>subnode</w:t>
            </w:r>
            <w:proofErr w:type="spellEnd"/>
            <w:r w:rsidRPr="00942481">
              <w:rPr>
                <w:rFonts w:cs="Helv"/>
                <w:color w:val="000000"/>
                <w:sz w:val="20"/>
                <w:szCs w:val="20"/>
              </w:rPr>
              <w:t>, con la possibilità di testare l’applicazione di misure concrete in condizioni reali. Le conclusioni del progetto dovranno poi essere recepite nei rispettivi documenti di indirizzo e pianificazione regionali.</w:t>
            </w:r>
          </w:p>
        </w:tc>
      </w:tr>
      <w:tr w:rsidR="00852A15" w:rsidTr="00876BB2">
        <w:trPr>
          <w:trHeight w:val="404"/>
        </w:trPr>
        <w:tc>
          <w:tcPr>
            <w:tcW w:w="2689" w:type="dxa"/>
            <w:vAlign w:val="center"/>
          </w:tcPr>
          <w:p w:rsidR="00852A15" w:rsidRPr="00B1571E" w:rsidRDefault="00852A15" w:rsidP="004A5EB4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B1571E">
              <w:rPr>
                <w:b/>
                <w:smallCaps/>
                <w:color w:val="17365D" w:themeColor="text2" w:themeShade="BF"/>
                <w:sz w:val="24"/>
                <w:szCs w:val="28"/>
              </w:rPr>
              <w:t>BUDGET</w:t>
            </w:r>
            <w:r w:rsidR="000646CF">
              <w:rPr>
                <w:b/>
                <w:smallCaps/>
                <w:color w:val="17365D" w:themeColor="text2" w:themeShade="BF"/>
                <w:sz w:val="24"/>
                <w:szCs w:val="28"/>
              </w:rPr>
              <w:t xml:space="preserve"> FESR</w:t>
            </w:r>
          </w:p>
        </w:tc>
        <w:tc>
          <w:tcPr>
            <w:tcW w:w="7089" w:type="dxa"/>
            <w:vAlign w:val="center"/>
          </w:tcPr>
          <w:p w:rsidR="00125B25" w:rsidRPr="004A5EB4" w:rsidRDefault="00942481" w:rsidP="000646CF">
            <w:r w:rsidRPr="00942481">
              <w:t>1.531.393,10 €</w:t>
            </w:r>
          </w:p>
        </w:tc>
      </w:tr>
      <w:tr w:rsidR="000646CF" w:rsidTr="00876BB2">
        <w:tc>
          <w:tcPr>
            <w:tcW w:w="2689" w:type="dxa"/>
            <w:vAlign w:val="center"/>
          </w:tcPr>
          <w:p w:rsidR="000646CF" w:rsidRPr="00B1571E" w:rsidRDefault="000646CF" w:rsidP="004A5EB4">
            <w:pPr>
              <w:rPr>
                <w:b/>
                <w:smallCaps/>
                <w:color w:val="17365D" w:themeColor="text2" w:themeShade="BF"/>
                <w:sz w:val="24"/>
                <w:szCs w:val="28"/>
              </w:rPr>
            </w:pPr>
            <w:r>
              <w:rPr>
                <w:b/>
                <w:smallCaps/>
                <w:color w:val="17365D" w:themeColor="text2" w:themeShade="BF"/>
                <w:sz w:val="24"/>
                <w:szCs w:val="28"/>
              </w:rPr>
              <w:t xml:space="preserve">BUDGET TOTALE </w:t>
            </w:r>
          </w:p>
        </w:tc>
        <w:tc>
          <w:tcPr>
            <w:tcW w:w="7089" w:type="dxa"/>
            <w:vAlign w:val="center"/>
          </w:tcPr>
          <w:p w:rsidR="00125B25" w:rsidRPr="000646CF" w:rsidRDefault="00942481" w:rsidP="000646CF">
            <w:r w:rsidRPr="00942481">
              <w:t>1.854.554,76 €</w:t>
            </w:r>
          </w:p>
        </w:tc>
      </w:tr>
    </w:tbl>
    <w:p w:rsidR="00EE5704" w:rsidRDefault="00EE5704" w:rsidP="00DF5EE7"/>
    <w:sectPr w:rsidR="00EE5704" w:rsidSect="00EF7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F4A01"/>
    <w:multiLevelType w:val="multilevel"/>
    <w:tmpl w:val="8084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04"/>
    <w:rsid w:val="000646CF"/>
    <w:rsid w:val="000A1A2B"/>
    <w:rsid w:val="00125B25"/>
    <w:rsid w:val="00177CD3"/>
    <w:rsid w:val="00235DF4"/>
    <w:rsid w:val="002746A1"/>
    <w:rsid w:val="002939E5"/>
    <w:rsid w:val="0035326F"/>
    <w:rsid w:val="004A5EB4"/>
    <w:rsid w:val="00525EE1"/>
    <w:rsid w:val="00564697"/>
    <w:rsid w:val="006C3522"/>
    <w:rsid w:val="0072293B"/>
    <w:rsid w:val="00732CF1"/>
    <w:rsid w:val="007413BA"/>
    <w:rsid w:val="007B308C"/>
    <w:rsid w:val="00850257"/>
    <w:rsid w:val="00852A15"/>
    <w:rsid w:val="00876BB2"/>
    <w:rsid w:val="00902032"/>
    <w:rsid w:val="00942481"/>
    <w:rsid w:val="009662CD"/>
    <w:rsid w:val="00995692"/>
    <w:rsid w:val="009C6581"/>
    <w:rsid w:val="00A71731"/>
    <w:rsid w:val="00A77A1C"/>
    <w:rsid w:val="00AF18EB"/>
    <w:rsid w:val="00B033B5"/>
    <w:rsid w:val="00B1571E"/>
    <w:rsid w:val="00B74A9A"/>
    <w:rsid w:val="00BD1A07"/>
    <w:rsid w:val="00C21F7B"/>
    <w:rsid w:val="00C4458E"/>
    <w:rsid w:val="00C67092"/>
    <w:rsid w:val="00C82118"/>
    <w:rsid w:val="00CA190A"/>
    <w:rsid w:val="00D72870"/>
    <w:rsid w:val="00DF5EE7"/>
    <w:rsid w:val="00EC3D1A"/>
    <w:rsid w:val="00EE5704"/>
    <w:rsid w:val="00EF79C8"/>
    <w:rsid w:val="00F12EC0"/>
    <w:rsid w:val="00F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EBA0F-E038-4C0B-9E95-F0442D7A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8211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2118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semiHidden/>
    <w:rsid w:val="00C8211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8211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-central.eu/Content.Node/subnod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nterreg-central.eu/Content.Node/hom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Longari</dc:creator>
  <cp:lastModifiedBy>Paola Volpato</cp:lastModifiedBy>
  <cp:revision>4</cp:revision>
  <dcterms:created xsi:type="dcterms:W3CDTF">2017-12-19T16:00:00Z</dcterms:created>
  <dcterms:modified xsi:type="dcterms:W3CDTF">2017-12-19T16:02:00Z</dcterms:modified>
</cp:coreProperties>
</file>